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DC5F70" w14:textId="77777777" w:rsidR="007A5945" w:rsidRPr="00C3282A" w:rsidRDefault="007A5945" w:rsidP="00E05DA1">
      <w:pPr>
        <w:autoSpaceDE w:val="0"/>
        <w:autoSpaceDN w:val="0"/>
        <w:adjustRightInd w:val="0"/>
        <w:rPr>
          <w:rFonts w:ascii="Calibri" w:hAnsi="Calibri" w:cs="Calibri"/>
          <w:sz w:val="21"/>
          <w:szCs w:val="21"/>
        </w:rPr>
      </w:pPr>
    </w:p>
    <w:p w14:paraId="6D97743B" w14:textId="77777777" w:rsidR="007A5945" w:rsidRPr="00C3282A" w:rsidRDefault="007A5945" w:rsidP="00E05DA1">
      <w:pPr>
        <w:autoSpaceDE w:val="0"/>
        <w:autoSpaceDN w:val="0"/>
        <w:adjustRightInd w:val="0"/>
        <w:rPr>
          <w:rFonts w:ascii="Calibri" w:hAnsi="Calibri" w:cs="Calibri"/>
          <w:sz w:val="21"/>
          <w:szCs w:val="21"/>
        </w:rPr>
      </w:pPr>
    </w:p>
    <w:p w14:paraId="119D38FF" w14:textId="77777777" w:rsidR="00452141" w:rsidRPr="00C3282A" w:rsidRDefault="00452141" w:rsidP="00E05DA1">
      <w:pPr>
        <w:autoSpaceDE w:val="0"/>
        <w:autoSpaceDN w:val="0"/>
        <w:adjustRightInd w:val="0"/>
        <w:rPr>
          <w:rFonts w:ascii="Calibri" w:hAnsi="Calibri" w:cs="Calibri"/>
          <w:b/>
          <w:bCs/>
          <w:color w:val="000000"/>
          <w:kern w:val="0"/>
          <w:sz w:val="21"/>
          <w:szCs w:val="21"/>
          <w:lang w:val="en-GB"/>
        </w:rPr>
      </w:pPr>
    </w:p>
    <w:p w14:paraId="17B4D797" w14:textId="77777777" w:rsidR="007A5945" w:rsidRPr="00C3282A" w:rsidRDefault="007A5945" w:rsidP="00E05DA1">
      <w:pPr>
        <w:autoSpaceDE w:val="0"/>
        <w:autoSpaceDN w:val="0"/>
        <w:adjustRightInd w:val="0"/>
        <w:rPr>
          <w:rFonts w:ascii="Calibri" w:hAnsi="Calibri" w:cs="Calibri"/>
          <w:b/>
          <w:bCs/>
          <w:color w:val="000000"/>
          <w:kern w:val="0"/>
          <w:sz w:val="21"/>
          <w:szCs w:val="21"/>
          <w:lang w:val="en-GB"/>
        </w:rPr>
      </w:pPr>
    </w:p>
    <w:p w14:paraId="0A7566FA" w14:textId="220F9C3E" w:rsidR="00F6293A" w:rsidRPr="00A36560" w:rsidRDefault="00F6293A" w:rsidP="00F6293A">
      <w:pPr>
        <w:pStyle w:val="NormalWeb"/>
        <w:spacing w:before="0" w:beforeAutospacing="0" w:after="0" w:afterAutospacing="0"/>
        <w:rPr>
          <w:rFonts w:ascii="Calibri" w:hAnsi="Calibri" w:cs="Calibri"/>
          <w:b/>
          <w:bCs/>
          <w:sz w:val="32"/>
          <w:szCs w:val="32"/>
        </w:rPr>
      </w:pPr>
      <w:r w:rsidRPr="00A36560">
        <w:rPr>
          <w:rStyle w:val="Strong"/>
          <w:rFonts w:ascii="Calibri" w:eastAsiaTheme="majorEastAsia" w:hAnsi="Calibri" w:cs="Calibri"/>
          <w:b w:val="0"/>
          <w:bCs w:val="0"/>
          <w:sz w:val="32"/>
          <w:szCs w:val="32"/>
        </w:rPr>
        <w:t>Does economic inequality affect well-being</w:t>
      </w:r>
      <w:r w:rsidR="00C3282A" w:rsidRPr="00A36560">
        <w:rPr>
          <w:rStyle w:val="Strong"/>
          <w:rFonts w:ascii="Calibri" w:eastAsiaTheme="majorEastAsia" w:hAnsi="Calibri" w:cs="Calibri"/>
          <w:b w:val="0"/>
          <w:bCs w:val="0"/>
          <w:sz w:val="32"/>
          <w:szCs w:val="32"/>
        </w:rPr>
        <w:t xml:space="preserve"> and mental health</w:t>
      </w:r>
      <w:r w:rsidRPr="00A36560">
        <w:rPr>
          <w:rStyle w:val="Strong"/>
          <w:rFonts w:ascii="Calibri" w:eastAsiaTheme="majorEastAsia" w:hAnsi="Calibri" w:cs="Calibri"/>
          <w:b w:val="0"/>
          <w:bCs w:val="0"/>
          <w:sz w:val="32"/>
          <w:szCs w:val="32"/>
        </w:rPr>
        <w:t>?</w:t>
      </w:r>
    </w:p>
    <w:p w14:paraId="5A681F93" w14:textId="03C176EF" w:rsidR="00F6293A" w:rsidRPr="00C3282A" w:rsidRDefault="00F6293A" w:rsidP="00F6293A">
      <w:pPr>
        <w:pStyle w:val="NormalWeb"/>
        <w:spacing w:before="0" w:beforeAutospacing="0" w:after="0" w:afterAutospacing="0"/>
        <w:rPr>
          <w:rFonts w:ascii="Calibri" w:hAnsi="Calibri" w:cs="Calibri"/>
          <w:b/>
          <w:bCs/>
          <w:i/>
          <w:iCs/>
          <w:sz w:val="28"/>
          <w:szCs w:val="28"/>
        </w:rPr>
      </w:pPr>
      <w:r w:rsidRPr="00C3282A">
        <w:rPr>
          <w:rStyle w:val="Strong"/>
          <w:rFonts w:ascii="Calibri" w:eastAsiaTheme="majorEastAsia" w:hAnsi="Calibri" w:cs="Calibri"/>
          <w:b w:val="0"/>
          <w:bCs w:val="0"/>
          <w:i/>
          <w:iCs/>
          <w:sz w:val="28"/>
          <w:szCs w:val="28"/>
        </w:rPr>
        <w:t xml:space="preserve">A counterintuitive answer from a </w:t>
      </w:r>
      <w:r w:rsidR="00C6291D" w:rsidRPr="00C3282A">
        <w:rPr>
          <w:rStyle w:val="Strong"/>
          <w:rFonts w:ascii="Calibri" w:eastAsiaTheme="majorEastAsia" w:hAnsi="Calibri" w:cs="Calibri"/>
          <w:b w:val="0"/>
          <w:bCs w:val="0"/>
          <w:i/>
          <w:iCs/>
          <w:sz w:val="28"/>
          <w:szCs w:val="28"/>
        </w:rPr>
        <w:t>global</w:t>
      </w:r>
      <w:r w:rsidRPr="00C3282A">
        <w:rPr>
          <w:rStyle w:val="Strong"/>
          <w:rFonts w:ascii="Calibri" w:eastAsiaTheme="majorEastAsia" w:hAnsi="Calibri" w:cs="Calibri"/>
          <w:b w:val="0"/>
          <w:bCs w:val="0"/>
          <w:i/>
          <w:iCs/>
          <w:sz w:val="28"/>
          <w:szCs w:val="28"/>
        </w:rPr>
        <w:t xml:space="preserve"> </w:t>
      </w:r>
      <w:r w:rsidR="009E7796" w:rsidRPr="00C3282A">
        <w:rPr>
          <w:rStyle w:val="Strong"/>
          <w:rFonts w:ascii="Calibri" w:eastAsiaTheme="majorEastAsia" w:hAnsi="Calibri" w:cs="Calibri"/>
          <w:b w:val="0"/>
          <w:bCs w:val="0"/>
          <w:i/>
          <w:iCs/>
          <w:sz w:val="28"/>
          <w:szCs w:val="28"/>
        </w:rPr>
        <w:t>study</w:t>
      </w:r>
    </w:p>
    <w:p w14:paraId="4138A2AF" w14:textId="77777777" w:rsidR="00A36560" w:rsidRPr="00A36560" w:rsidRDefault="00A11EE2" w:rsidP="00A36560">
      <w:pPr>
        <w:autoSpaceDE w:val="0"/>
        <w:autoSpaceDN w:val="0"/>
        <w:adjustRightInd w:val="0"/>
        <w:rPr>
          <w:rFonts w:ascii="Calibri" w:hAnsi="Calibri" w:cs="Calibri"/>
          <w:color w:val="000000"/>
          <w:kern w:val="0"/>
          <w:sz w:val="18"/>
          <w:szCs w:val="18"/>
          <w:lang w:val="en-GB"/>
        </w:rPr>
      </w:pPr>
      <w:r w:rsidRPr="00C3282A">
        <w:rPr>
          <w:rFonts w:ascii="Calibri" w:hAnsi="Calibri" w:cs="Calibri"/>
          <w:i/>
          <w:iCs/>
          <w:color w:val="000000"/>
          <w:kern w:val="0"/>
          <w:sz w:val="21"/>
          <w:szCs w:val="21"/>
          <w:lang w:val="en-GB"/>
        </w:rPr>
        <w:t>By Timothy Tailor</w:t>
      </w:r>
      <w:r w:rsidR="00A36560">
        <w:rPr>
          <w:rFonts w:ascii="Calibri" w:hAnsi="Calibri" w:cs="Calibri"/>
          <w:i/>
          <w:iCs/>
          <w:color w:val="000000"/>
          <w:kern w:val="0"/>
          <w:sz w:val="21"/>
          <w:szCs w:val="21"/>
          <w:lang w:val="en-GB"/>
        </w:rPr>
        <w:t xml:space="preserve"> </w:t>
      </w:r>
      <w:r w:rsidR="00A36560" w:rsidRPr="00C3282A">
        <w:rPr>
          <w:rFonts w:ascii="Calibri" w:hAnsi="Calibri" w:cs="Calibri"/>
          <w:sz w:val="21"/>
          <w:szCs w:val="21"/>
        </w:rPr>
        <w:t>(</w:t>
      </w:r>
      <w:r w:rsidR="00A36560" w:rsidRPr="00A36560">
        <w:rPr>
          <w:rFonts w:ascii="Calibri" w:hAnsi="Calibri" w:cs="Calibri"/>
          <w:sz w:val="18"/>
          <w:szCs w:val="18"/>
        </w:rPr>
        <w:t>edited for didactic purposes)</w:t>
      </w:r>
    </w:p>
    <w:p w14:paraId="6D7D6EEF" w14:textId="77777777" w:rsidR="00E05DA1" w:rsidRPr="00C3282A" w:rsidRDefault="00E05DA1" w:rsidP="00E05DA1">
      <w:pPr>
        <w:autoSpaceDE w:val="0"/>
        <w:autoSpaceDN w:val="0"/>
        <w:adjustRightInd w:val="0"/>
        <w:rPr>
          <w:rFonts w:ascii="Calibri" w:hAnsi="Calibri" w:cs="Calibri"/>
          <w:color w:val="000000"/>
          <w:kern w:val="0"/>
          <w:sz w:val="21"/>
          <w:szCs w:val="21"/>
          <w:lang w:val="en-GB"/>
        </w:rPr>
      </w:pPr>
    </w:p>
    <w:tbl>
      <w:tblPr>
        <w:tblStyle w:val="TableGrid"/>
        <w:tblW w:w="9923" w:type="dxa"/>
        <w:tblInd w:w="-147" w:type="dxa"/>
        <w:tblLook w:val="04A0" w:firstRow="1" w:lastRow="0" w:firstColumn="1" w:lastColumn="0" w:noHBand="0" w:noVBand="1"/>
      </w:tblPr>
      <w:tblGrid>
        <w:gridCol w:w="5671"/>
        <w:gridCol w:w="4252"/>
      </w:tblGrid>
      <w:tr w:rsidR="005F3869" w:rsidRPr="00C3282A" w14:paraId="2972D7E5" w14:textId="77777777" w:rsidTr="00D809E5">
        <w:tc>
          <w:tcPr>
            <w:tcW w:w="5671" w:type="dxa"/>
          </w:tcPr>
          <w:p w14:paraId="77CA4EA0" w14:textId="2A5BE160" w:rsidR="005F3869" w:rsidRPr="00D809E5" w:rsidRDefault="005F3869" w:rsidP="00E90ADD">
            <w:pPr>
              <w:pStyle w:val="ListParagraph"/>
              <w:numPr>
                <w:ilvl w:val="0"/>
                <w:numId w:val="3"/>
              </w:numPr>
              <w:autoSpaceDE w:val="0"/>
              <w:autoSpaceDN w:val="0"/>
              <w:adjustRightInd w:val="0"/>
              <w:ind w:left="317"/>
              <w:rPr>
                <w:rFonts w:ascii="Calibri" w:hAnsi="Calibri" w:cs="Calibri"/>
                <w:color w:val="000000"/>
                <w:kern w:val="0"/>
                <w:sz w:val="21"/>
                <w:szCs w:val="21"/>
                <w:lang w:val="en-GB"/>
              </w:rPr>
            </w:pPr>
            <w:r w:rsidRPr="00D809E5">
              <w:rPr>
                <w:rFonts w:ascii="Calibri" w:hAnsi="Calibri" w:cs="Calibri"/>
                <w:color w:val="000000"/>
                <w:kern w:val="0"/>
                <w:sz w:val="21"/>
                <w:szCs w:val="21"/>
                <w:lang w:val="en-GB"/>
              </w:rPr>
              <w:t>It</w:t>
            </w:r>
            <w:r w:rsidR="00025BF7">
              <w:rPr>
                <w:rFonts w:ascii="Calibri" w:hAnsi="Calibri" w:cs="Calibri"/>
                <w:color w:val="000000"/>
                <w:kern w:val="0"/>
                <w:sz w:val="21"/>
                <w:szCs w:val="21"/>
                <w:lang w:val="en-GB"/>
              </w:rPr>
              <w:t xml:space="preserve"> has </w:t>
            </w:r>
            <w:r w:rsidRPr="00D809E5">
              <w:rPr>
                <w:rFonts w:ascii="Calibri" w:hAnsi="Calibri" w:cs="Calibri"/>
                <w:color w:val="000000"/>
                <w:kern w:val="0"/>
                <w:sz w:val="21"/>
                <w:szCs w:val="21"/>
                <w:lang w:val="en-GB"/>
              </w:rPr>
              <w:t>become a nearly standard claim that economic inequality makes people feel worse-off, or perhaps even leads to mental illness. However, Nicolas Sommet et al. did a meta-analysis of the available studies</w:t>
            </w:r>
            <w:r w:rsidR="003D21C4" w:rsidRPr="00D809E5">
              <w:rPr>
                <w:rFonts w:ascii="Calibri" w:hAnsi="Calibri" w:cs="Calibri"/>
                <w:color w:val="000000"/>
                <w:kern w:val="0"/>
                <w:sz w:val="21"/>
                <w:szCs w:val="21"/>
                <w:lang w:val="en-GB"/>
              </w:rPr>
              <w:t>. For this</w:t>
            </w:r>
            <w:r w:rsidRPr="00D809E5">
              <w:rPr>
                <w:rFonts w:ascii="Calibri" w:hAnsi="Calibri" w:cs="Calibri"/>
                <w:color w:val="000000"/>
                <w:kern w:val="0"/>
                <w:sz w:val="21"/>
                <w:szCs w:val="21"/>
                <w:lang w:val="en-GB"/>
              </w:rPr>
              <w:t xml:space="preserve">, they went back and looked at the underlying data, methods, and findings of the available studies. They state their findings bluntly in the title: </w:t>
            </w:r>
            <w:r w:rsidRPr="005F21A3">
              <w:rPr>
                <w:rFonts w:ascii="Calibri" w:hAnsi="Calibri" w:cs="Calibri"/>
                <w:i/>
                <w:iCs/>
                <w:color w:val="000000" w:themeColor="text1"/>
                <w:sz w:val="20"/>
                <w:szCs w:val="20"/>
                <w:lang w:val="en-GB"/>
              </w:rPr>
              <w:t>No meta-analytical effect of economic inequality on well-being or mental health</w:t>
            </w:r>
            <w:r w:rsidR="003D21C4" w:rsidRPr="00025BF7">
              <w:rPr>
                <w:rFonts w:ascii="Calibri" w:hAnsi="Calibri" w:cs="Calibri"/>
                <w:i/>
                <w:iCs/>
                <w:color w:val="000000" w:themeColor="text1"/>
                <w:sz w:val="20"/>
                <w:szCs w:val="20"/>
              </w:rPr>
              <w:t xml:space="preserve"> </w:t>
            </w:r>
            <w:r w:rsidRPr="00025BF7">
              <w:rPr>
                <w:rFonts w:ascii="Calibri" w:hAnsi="Calibri" w:cs="Calibri"/>
                <w:i/>
                <w:iCs/>
                <w:color w:val="000000" w:themeColor="text1"/>
                <w:kern w:val="0"/>
                <w:sz w:val="21"/>
                <w:szCs w:val="21"/>
                <w:lang w:val="en-GB"/>
              </w:rPr>
              <w:t>(</w:t>
            </w:r>
            <w:r w:rsidRPr="00D809E5">
              <w:rPr>
                <w:rFonts w:ascii="Calibri" w:hAnsi="Calibri" w:cs="Calibri"/>
                <w:color w:val="000000"/>
                <w:kern w:val="0"/>
                <w:sz w:val="21"/>
                <w:szCs w:val="21"/>
                <w:lang w:val="en-GB"/>
              </w:rPr>
              <w:t>Nature, published November 26, 2025</w:t>
            </w:r>
            <w:r w:rsidR="003D21C4" w:rsidRPr="00D809E5">
              <w:rPr>
                <w:rFonts w:ascii="Calibri" w:hAnsi="Calibri" w:cs="Calibri"/>
                <w:color w:val="000000"/>
                <w:kern w:val="0"/>
                <w:sz w:val="21"/>
                <w:szCs w:val="21"/>
                <w:lang w:val="en-GB"/>
              </w:rPr>
              <w:t>.</w:t>
            </w:r>
          </w:p>
          <w:p w14:paraId="78B5A85C" w14:textId="77777777" w:rsidR="005F3869" w:rsidRPr="00C3282A" w:rsidRDefault="005F3869" w:rsidP="00E90ADD">
            <w:pPr>
              <w:autoSpaceDE w:val="0"/>
              <w:autoSpaceDN w:val="0"/>
              <w:adjustRightInd w:val="0"/>
              <w:ind w:left="317" w:hanging="284"/>
              <w:rPr>
                <w:rFonts w:ascii="Calibri" w:hAnsi="Calibri" w:cs="Calibri"/>
                <w:color w:val="000000"/>
                <w:kern w:val="0"/>
                <w:sz w:val="21"/>
                <w:szCs w:val="21"/>
                <w:lang w:val="en-GB"/>
              </w:rPr>
            </w:pPr>
          </w:p>
        </w:tc>
        <w:tc>
          <w:tcPr>
            <w:tcW w:w="4252" w:type="dxa"/>
          </w:tcPr>
          <w:p w14:paraId="6C08D225" w14:textId="77777777" w:rsidR="005F3869" w:rsidRPr="00C3282A" w:rsidRDefault="005F3869" w:rsidP="00E05DA1">
            <w:pPr>
              <w:autoSpaceDE w:val="0"/>
              <w:autoSpaceDN w:val="0"/>
              <w:adjustRightInd w:val="0"/>
              <w:rPr>
                <w:rFonts w:ascii="Calibri" w:hAnsi="Calibri" w:cs="Calibri"/>
                <w:color w:val="000000"/>
                <w:kern w:val="0"/>
                <w:sz w:val="21"/>
                <w:szCs w:val="21"/>
                <w:lang w:val="en-GB"/>
              </w:rPr>
            </w:pPr>
          </w:p>
        </w:tc>
      </w:tr>
      <w:tr w:rsidR="005F3869" w:rsidRPr="00C3282A" w14:paraId="008B1FCD" w14:textId="77777777" w:rsidTr="00D809E5">
        <w:tc>
          <w:tcPr>
            <w:tcW w:w="5671" w:type="dxa"/>
          </w:tcPr>
          <w:p w14:paraId="03C7E29F" w14:textId="015A18EC" w:rsidR="00A17FCF" w:rsidRPr="00D736BB" w:rsidRDefault="00A17FCF" w:rsidP="00E90ADD">
            <w:pPr>
              <w:pStyle w:val="ListParagraph"/>
              <w:numPr>
                <w:ilvl w:val="0"/>
                <w:numId w:val="3"/>
              </w:numPr>
              <w:autoSpaceDE w:val="0"/>
              <w:autoSpaceDN w:val="0"/>
              <w:adjustRightInd w:val="0"/>
              <w:ind w:left="317"/>
              <w:rPr>
                <w:rFonts w:ascii="Calibri" w:hAnsi="Calibri" w:cs="Calibri"/>
                <w:color w:val="000000"/>
                <w:kern w:val="0"/>
                <w:sz w:val="21"/>
                <w:szCs w:val="21"/>
                <w:lang w:val="en-GB"/>
              </w:rPr>
            </w:pPr>
            <w:r w:rsidRPr="00D736BB">
              <w:rPr>
                <w:rStyle w:val="Strong"/>
                <w:rFonts w:ascii="Calibri" w:hAnsi="Calibri" w:cs="Calibri"/>
                <w:b w:val="0"/>
                <w:bCs w:val="0"/>
                <w:sz w:val="21"/>
                <w:szCs w:val="21"/>
              </w:rPr>
              <w:t xml:space="preserve">Many studies show that people with lower incomes report lower subjective well-being, but this does </w:t>
            </w:r>
            <w:r w:rsidRPr="00D736BB">
              <w:rPr>
                <w:rStyle w:val="Emphasis"/>
                <w:rFonts w:ascii="Calibri" w:hAnsi="Calibri" w:cs="Calibri"/>
                <w:sz w:val="21"/>
                <w:szCs w:val="21"/>
              </w:rPr>
              <w:t>not</w:t>
            </w:r>
            <w:r w:rsidRPr="00D736BB">
              <w:rPr>
                <w:rStyle w:val="Strong"/>
                <w:rFonts w:ascii="Calibri" w:hAnsi="Calibri" w:cs="Calibri"/>
                <w:sz w:val="21"/>
                <w:szCs w:val="21"/>
              </w:rPr>
              <w:t xml:space="preserve"> </w:t>
            </w:r>
            <w:r w:rsidRPr="00D736BB">
              <w:rPr>
                <w:rStyle w:val="Strong"/>
                <w:rFonts w:ascii="Calibri" w:hAnsi="Calibri" w:cs="Calibri"/>
                <w:b w:val="0"/>
                <w:bCs w:val="0"/>
                <w:sz w:val="21"/>
                <w:szCs w:val="21"/>
              </w:rPr>
              <w:t>tell us whether income inequality itself affects well-being.</w:t>
            </w:r>
            <w:r w:rsidRPr="00D736BB">
              <w:rPr>
                <w:rStyle w:val="Strong"/>
                <w:rFonts w:ascii="Calibri" w:hAnsi="Calibri" w:cs="Calibri"/>
                <w:sz w:val="21"/>
                <w:szCs w:val="21"/>
              </w:rPr>
              <w:t xml:space="preserve"> </w:t>
            </w:r>
            <w:r w:rsidRPr="00D736BB">
              <w:rPr>
                <w:rFonts w:ascii="Calibri" w:hAnsi="Calibri" w:cs="Calibri"/>
                <w:sz w:val="21"/>
                <w:szCs w:val="21"/>
              </w:rPr>
              <w:t xml:space="preserve">Most existing evidence is based on surveys in which individuals rate their own well-being (for example on a 1–7 scale). These data capture an association between individual income and well-being, but they do not answer the relevant question of whether differences in income </w:t>
            </w:r>
            <w:r w:rsidRPr="00D736BB">
              <w:rPr>
                <w:rStyle w:val="Emphasis"/>
                <w:rFonts w:ascii="Calibri" w:hAnsi="Calibri" w:cs="Calibri"/>
                <w:sz w:val="21"/>
                <w:szCs w:val="21"/>
              </w:rPr>
              <w:t>between people</w:t>
            </w:r>
            <w:r w:rsidRPr="00D736BB">
              <w:rPr>
                <w:rFonts w:ascii="Calibri" w:hAnsi="Calibri" w:cs="Calibri"/>
                <w:sz w:val="21"/>
                <w:szCs w:val="21"/>
              </w:rPr>
              <w:t xml:space="preserve"> have an independent effect on well-being.</w:t>
            </w:r>
          </w:p>
          <w:p w14:paraId="35D128CF" w14:textId="77777777" w:rsidR="005F3869" w:rsidRPr="00C3282A" w:rsidRDefault="005F3869" w:rsidP="00E90ADD">
            <w:pPr>
              <w:autoSpaceDE w:val="0"/>
              <w:autoSpaceDN w:val="0"/>
              <w:adjustRightInd w:val="0"/>
              <w:ind w:left="317" w:hanging="284"/>
              <w:rPr>
                <w:rFonts w:ascii="Calibri" w:hAnsi="Calibri" w:cs="Calibri"/>
                <w:color w:val="000000"/>
                <w:kern w:val="0"/>
                <w:sz w:val="21"/>
                <w:szCs w:val="21"/>
                <w:lang w:val="en-GB"/>
              </w:rPr>
            </w:pPr>
          </w:p>
        </w:tc>
        <w:tc>
          <w:tcPr>
            <w:tcW w:w="4252" w:type="dxa"/>
          </w:tcPr>
          <w:p w14:paraId="34176504" w14:textId="77777777" w:rsidR="005F3869" w:rsidRPr="00C3282A" w:rsidRDefault="005F3869" w:rsidP="00E05DA1">
            <w:pPr>
              <w:autoSpaceDE w:val="0"/>
              <w:autoSpaceDN w:val="0"/>
              <w:adjustRightInd w:val="0"/>
              <w:rPr>
                <w:rFonts w:ascii="Calibri" w:hAnsi="Calibri" w:cs="Calibri"/>
                <w:color w:val="000000"/>
                <w:kern w:val="0"/>
                <w:sz w:val="21"/>
                <w:szCs w:val="21"/>
                <w:lang w:val="en-GB"/>
              </w:rPr>
            </w:pPr>
          </w:p>
        </w:tc>
      </w:tr>
      <w:tr w:rsidR="005F3869" w:rsidRPr="00C3282A" w14:paraId="352DC85D" w14:textId="77777777" w:rsidTr="00D809E5">
        <w:tc>
          <w:tcPr>
            <w:tcW w:w="5671" w:type="dxa"/>
          </w:tcPr>
          <w:p w14:paraId="67C4057C" w14:textId="6D9FB83B" w:rsidR="00AC0D6A" w:rsidRPr="00D809E5" w:rsidRDefault="00AC0D6A" w:rsidP="00E90ADD">
            <w:pPr>
              <w:pStyle w:val="ListParagraph"/>
              <w:numPr>
                <w:ilvl w:val="0"/>
                <w:numId w:val="3"/>
              </w:numPr>
              <w:autoSpaceDE w:val="0"/>
              <w:autoSpaceDN w:val="0"/>
              <w:adjustRightInd w:val="0"/>
              <w:ind w:left="317"/>
              <w:rPr>
                <w:rFonts w:ascii="Calibri" w:hAnsi="Calibri" w:cs="Calibri"/>
                <w:color w:val="000000"/>
                <w:kern w:val="0"/>
                <w:sz w:val="21"/>
                <w:szCs w:val="21"/>
                <w:lang w:val="en-GB"/>
              </w:rPr>
            </w:pPr>
            <w:r w:rsidRPr="00D809E5">
              <w:rPr>
                <w:rFonts w:ascii="Calibri" w:hAnsi="Calibri" w:cs="Calibri"/>
                <w:sz w:val="21"/>
                <w:szCs w:val="21"/>
              </w:rPr>
              <w:t>The more relevant comparison, however, is this:</w:t>
            </w:r>
            <w:r w:rsidRPr="00D809E5">
              <w:rPr>
                <w:rFonts w:ascii="Calibri" w:hAnsi="Calibri" w:cs="Calibri"/>
                <w:color w:val="000000"/>
                <w:kern w:val="0"/>
                <w:sz w:val="21"/>
                <w:szCs w:val="21"/>
                <w:lang w:val="en-GB"/>
              </w:rPr>
              <w:t xml:space="preserve"> imagine that you are in a society where inequality rises over time. Does the reported well-being of those at the lower end decline as inequality rises? Or imagine that you are comparing between people in different societies, some with greater inequality than others. Do those with lower income levels who also live in higher-inequality societies consistently report a lower level of well-being, compared with those with lower income levels who live in lower-inequality societies? </w:t>
            </w:r>
          </w:p>
          <w:p w14:paraId="744FAAAD" w14:textId="77777777" w:rsidR="005F3869" w:rsidRPr="00C3282A" w:rsidRDefault="005F3869" w:rsidP="00E90ADD">
            <w:pPr>
              <w:autoSpaceDE w:val="0"/>
              <w:autoSpaceDN w:val="0"/>
              <w:adjustRightInd w:val="0"/>
              <w:ind w:left="317" w:hanging="284"/>
              <w:rPr>
                <w:rFonts w:ascii="Calibri" w:hAnsi="Calibri" w:cs="Calibri"/>
                <w:color w:val="000000"/>
                <w:kern w:val="0"/>
                <w:sz w:val="21"/>
                <w:szCs w:val="21"/>
                <w:lang w:val="en-GB"/>
              </w:rPr>
            </w:pPr>
          </w:p>
        </w:tc>
        <w:tc>
          <w:tcPr>
            <w:tcW w:w="4252" w:type="dxa"/>
          </w:tcPr>
          <w:p w14:paraId="2F539953" w14:textId="77777777" w:rsidR="005F3869" w:rsidRPr="00C3282A" w:rsidRDefault="005F3869" w:rsidP="00E05DA1">
            <w:pPr>
              <w:autoSpaceDE w:val="0"/>
              <w:autoSpaceDN w:val="0"/>
              <w:adjustRightInd w:val="0"/>
              <w:rPr>
                <w:rFonts w:ascii="Calibri" w:hAnsi="Calibri" w:cs="Calibri"/>
                <w:color w:val="000000"/>
                <w:kern w:val="0"/>
                <w:sz w:val="21"/>
                <w:szCs w:val="21"/>
                <w:lang w:val="en-GB"/>
              </w:rPr>
            </w:pPr>
          </w:p>
        </w:tc>
      </w:tr>
      <w:tr w:rsidR="005F3869" w:rsidRPr="00C3282A" w14:paraId="059C6954" w14:textId="77777777" w:rsidTr="00D809E5">
        <w:tc>
          <w:tcPr>
            <w:tcW w:w="5671" w:type="dxa"/>
          </w:tcPr>
          <w:p w14:paraId="0F18D004" w14:textId="59A85EF3" w:rsidR="00AC0D6A" w:rsidRPr="00D809E5" w:rsidRDefault="00AC0D6A" w:rsidP="00E90ADD">
            <w:pPr>
              <w:pStyle w:val="ListParagraph"/>
              <w:numPr>
                <w:ilvl w:val="0"/>
                <w:numId w:val="3"/>
              </w:numPr>
              <w:autoSpaceDE w:val="0"/>
              <w:autoSpaceDN w:val="0"/>
              <w:adjustRightInd w:val="0"/>
              <w:ind w:left="317"/>
              <w:rPr>
                <w:rFonts w:ascii="Calibri" w:hAnsi="Calibri" w:cs="Calibri"/>
                <w:color w:val="000000"/>
                <w:kern w:val="0"/>
                <w:sz w:val="21"/>
                <w:szCs w:val="21"/>
                <w:lang w:val="en-GB"/>
              </w:rPr>
            </w:pPr>
            <w:r w:rsidRPr="00D809E5">
              <w:rPr>
                <w:rFonts w:ascii="Calibri" w:hAnsi="Calibri" w:cs="Calibri"/>
                <w:color w:val="000000"/>
                <w:kern w:val="0"/>
                <w:sz w:val="21"/>
                <w:szCs w:val="21"/>
                <w:lang w:val="en-GB"/>
              </w:rPr>
              <w:t>Existing studies had several limitations. They mostly looked at a small number of countries, regions or cities, making their results sensitive to random variations and hard to replicate. Researchers have tried to address this limitation with meta-analyses (methods that combine findings across studies), but earlier efforts included only 9–24 studies and rarely examined for whom and when inequality might affect well-being and mental health.</w:t>
            </w:r>
          </w:p>
          <w:p w14:paraId="386C6F01" w14:textId="77777777" w:rsidR="005F3869" w:rsidRPr="00C3282A" w:rsidRDefault="005F3869" w:rsidP="00E90ADD">
            <w:pPr>
              <w:autoSpaceDE w:val="0"/>
              <w:autoSpaceDN w:val="0"/>
              <w:adjustRightInd w:val="0"/>
              <w:ind w:left="317" w:hanging="284"/>
              <w:rPr>
                <w:rFonts w:ascii="Calibri" w:hAnsi="Calibri" w:cs="Calibri"/>
                <w:color w:val="000000"/>
                <w:kern w:val="0"/>
                <w:sz w:val="21"/>
                <w:szCs w:val="21"/>
                <w:lang w:val="en-GB"/>
              </w:rPr>
            </w:pPr>
          </w:p>
        </w:tc>
        <w:tc>
          <w:tcPr>
            <w:tcW w:w="4252" w:type="dxa"/>
          </w:tcPr>
          <w:p w14:paraId="32EB3D53" w14:textId="77777777" w:rsidR="005F3869" w:rsidRPr="00C3282A" w:rsidRDefault="005F3869" w:rsidP="00E05DA1">
            <w:pPr>
              <w:autoSpaceDE w:val="0"/>
              <w:autoSpaceDN w:val="0"/>
              <w:adjustRightInd w:val="0"/>
              <w:rPr>
                <w:rFonts w:ascii="Calibri" w:hAnsi="Calibri" w:cs="Calibri"/>
                <w:color w:val="000000"/>
                <w:kern w:val="0"/>
                <w:sz w:val="21"/>
                <w:szCs w:val="21"/>
                <w:lang w:val="en-GB"/>
              </w:rPr>
            </w:pPr>
          </w:p>
        </w:tc>
      </w:tr>
      <w:tr w:rsidR="005F3869" w:rsidRPr="00C3282A" w14:paraId="31F78068" w14:textId="77777777" w:rsidTr="00E7744D">
        <w:tc>
          <w:tcPr>
            <w:tcW w:w="5671" w:type="dxa"/>
          </w:tcPr>
          <w:p w14:paraId="2C675325" w14:textId="5113DC40" w:rsidR="005F3869" w:rsidRPr="00D809E5" w:rsidRDefault="00A17FCF" w:rsidP="00E90ADD">
            <w:pPr>
              <w:pStyle w:val="ListParagraph"/>
              <w:numPr>
                <w:ilvl w:val="0"/>
                <w:numId w:val="3"/>
              </w:numPr>
              <w:autoSpaceDE w:val="0"/>
              <w:autoSpaceDN w:val="0"/>
              <w:adjustRightInd w:val="0"/>
              <w:ind w:left="317"/>
              <w:rPr>
                <w:rFonts w:ascii="Calibri" w:hAnsi="Calibri" w:cs="Calibri"/>
                <w:color w:val="000000"/>
                <w:kern w:val="0"/>
                <w:sz w:val="21"/>
                <w:szCs w:val="21"/>
                <w:lang w:val="en-GB"/>
              </w:rPr>
            </w:pPr>
            <w:r>
              <w:rPr>
                <w:rFonts w:ascii="Calibri" w:hAnsi="Calibri" w:cs="Calibri"/>
                <w:color w:val="000000"/>
                <w:kern w:val="0"/>
                <w:sz w:val="21"/>
                <w:szCs w:val="21"/>
                <w:lang w:val="en-GB"/>
              </w:rPr>
              <w:lastRenderedPageBreak/>
              <w:t>T</w:t>
            </w:r>
            <w:r w:rsidR="00AC0D6A" w:rsidRPr="00D809E5">
              <w:rPr>
                <w:rFonts w:ascii="Calibri" w:hAnsi="Calibri" w:cs="Calibri"/>
                <w:color w:val="000000"/>
                <w:kern w:val="0"/>
                <w:sz w:val="21"/>
                <w:szCs w:val="21"/>
                <w:lang w:val="en-GB"/>
              </w:rPr>
              <w:t xml:space="preserve">his meta-analysis has a broader scope. To review the relationship between economic inequality and well-being or mental health, the authors of this study screened thousands of scientific papers and contacted hundreds of researchers to identify all work on the subject. They included 168 studies, involving a total of more than 11 million participants. Nearly all samples were nationally representative, spanning countries across most world regions. They extracted more than 100 study features from each paper and linked them to more than 500 World Bank indicators to describe each study’s national context. </w:t>
            </w:r>
          </w:p>
          <w:p w14:paraId="5C817CA0" w14:textId="689ACAA5" w:rsidR="007A5945" w:rsidRPr="00C3282A" w:rsidRDefault="007A5945" w:rsidP="00E90ADD">
            <w:pPr>
              <w:autoSpaceDE w:val="0"/>
              <w:autoSpaceDN w:val="0"/>
              <w:adjustRightInd w:val="0"/>
              <w:ind w:left="317" w:hanging="317"/>
              <w:rPr>
                <w:rFonts w:ascii="Calibri" w:hAnsi="Calibri" w:cs="Calibri"/>
                <w:color w:val="000000"/>
                <w:kern w:val="0"/>
                <w:sz w:val="21"/>
                <w:szCs w:val="21"/>
                <w:lang w:val="en-GB"/>
              </w:rPr>
            </w:pPr>
          </w:p>
        </w:tc>
        <w:tc>
          <w:tcPr>
            <w:tcW w:w="4252" w:type="dxa"/>
          </w:tcPr>
          <w:p w14:paraId="6E970068" w14:textId="77777777" w:rsidR="005F3869" w:rsidRPr="00C3282A" w:rsidRDefault="005F3869" w:rsidP="00E05DA1">
            <w:pPr>
              <w:autoSpaceDE w:val="0"/>
              <w:autoSpaceDN w:val="0"/>
              <w:adjustRightInd w:val="0"/>
              <w:rPr>
                <w:rFonts w:ascii="Calibri" w:hAnsi="Calibri" w:cs="Calibri"/>
                <w:color w:val="000000"/>
                <w:kern w:val="0"/>
                <w:sz w:val="21"/>
                <w:szCs w:val="21"/>
                <w:lang w:val="en-GB"/>
              </w:rPr>
            </w:pPr>
          </w:p>
        </w:tc>
      </w:tr>
      <w:tr w:rsidR="005F3869" w:rsidRPr="00C3282A" w14:paraId="64503904" w14:textId="77777777" w:rsidTr="00E7744D">
        <w:tc>
          <w:tcPr>
            <w:tcW w:w="5671" w:type="dxa"/>
          </w:tcPr>
          <w:p w14:paraId="40526688" w14:textId="339D5A9B" w:rsidR="00AC0D6A" w:rsidRPr="00D809E5" w:rsidRDefault="00AC0D6A" w:rsidP="00E90ADD">
            <w:pPr>
              <w:pStyle w:val="ListParagraph"/>
              <w:numPr>
                <w:ilvl w:val="0"/>
                <w:numId w:val="3"/>
              </w:numPr>
              <w:autoSpaceDE w:val="0"/>
              <w:autoSpaceDN w:val="0"/>
              <w:adjustRightInd w:val="0"/>
              <w:ind w:left="317"/>
              <w:rPr>
                <w:rFonts w:ascii="Calibri" w:hAnsi="Calibri" w:cs="Calibri"/>
                <w:color w:val="000000"/>
                <w:kern w:val="0"/>
                <w:sz w:val="21"/>
                <w:szCs w:val="21"/>
                <w:lang w:val="en-GB"/>
              </w:rPr>
            </w:pPr>
            <w:r w:rsidRPr="00D809E5">
              <w:rPr>
                <w:rFonts w:ascii="Calibri" w:hAnsi="Calibri" w:cs="Calibri"/>
                <w:color w:val="000000"/>
                <w:kern w:val="0"/>
                <w:sz w:val="21"/>
                <w:szCs w:val="21"/>
                <w:lang w:val="en-GB"/>
              </w:rPr>
              <w:t>First, the study found that people living in more-unequal places did not, on average, report lower well-being (life satisfaction or happiness) than those in less-unequal places. The average effect across studies was not statistically significant, was practically equivalent to zero and did not depend on study quality, design, outcome or geographic scale. Second, although some studies reported that people in more-unequal places had poorer mental health, this study found that this pattern reflected publication bias: small, noisy studies that reported larger effects were over-represented. After adjusting for this bias, the average association between economic inequality and mental health shrank to essentially zero.</w:t>
            </w:r>
          </w:p>
          <w:p w14:paraId="7F05DB89" w14:textId="77777777" w:rsidR="005F3869" w:rsidRPr="00C3282A" w:rsidRDefault="005F3869" w:rsidP="00E90ADD">
            <w:pPr>
              <w:autoSpaceDE w:val="0"/>
              <w:autoSpaceDN w:val="0"/>
              <w:adjustRightInd w:val="0"/>
              <w:ind w:left="317" w:hanging="317"/>
              <w:rPr>
                <w:rFonts w:ascii="Calibri" w:hAnsi="Calibri" w:cs="Calibri"/>
                <w:color w:val="000000"/>
                <w:kern w:val="0"/>
                <w:sz w:val="21"/>
                <w:szCs w:val="21"/>
                <w:lang w:val="en-GB"/>
              </w:rPr>
            </w:pPr>
          </w:p>
        </w:tc>
        <w:tc>
          <w:tcPr>
            <w:tcW w:w="4252" w:type="dxa"/>
          </w:tcPr>
          <w:p w14:paraId="1EC41B18" w14:textId="77777777" w:rsidR="005F3869" w:rsidRPr="00C3282A" w:rsidRDefault="005F3869" w:rsidP="00E05DA1">
            <w:pPr>
              <w:autoSpaceDE w:val="0"/>
              <w:autoSpaceDN w:val="0"/>
              <w:adjustRightInd w:val="0"/>
              <w:rPr>
                <w:rFonts w:ascii="Calibri" w:hAnsi="Calibri" w:cs="Calibri"/>
                <w:color w:val="000000"/>
                <w:kern w:val="0"/>
                <w:sz w:val="21"/>
                <w:szCs w:val="21"/>
                <w:lang w:val="en-GB"/>
              </w:rPr>
            </w:pPr>
          </w:p>
        </w:tc>
      </w:tr>
      <w:tr w:rsidR="005F3869" w:rsidRPr="00C3282A" w14:paraId="43D7845A" w14:textId="77777777" w:rsidTr="00E7744D">
        <w:tc>
          <w:tcPr>
            <w:tcW w:w="5671" w:type="dxa"/>
          </w:tcPr>
          <w:p w14:paraId="39B4126C" w14:textId="0D4E5827" w:rsidR="00AC0D6A" w:rsidRPr="00D809E5" w:rsidRDefault="00AC0D6A" w:rsidP="00E90ADD">
            <w:pPr>
              <w:pStyle w:val="ListParagraph"/>
              <w:numPr>
                <w:ilvl w:val="0"/>
                <w:numId w:val="3"/>
              </w:numPr>
              <w:autoSpaceDE w:val="0"/>
              <w:autoSpaceDN w:val="0"/>
              <w:adjustRightInd w:val="0"/>
              <w:ind w:left="317"/>
              <w:rPr>
                <w:rFonts w:ascii="Calibri" w:hAnsi="Calibri" w:cs="Calibri"/>
                <w:color w:val="000000"/>
                <w:kern w:val="0"/>
                <w:sz w:val="21"/>
                <w:szCs w:val="21"/>
                <w:lang w:val="en-GB"/>
              </w:rPr>
            </w:pPr>
            <w:r w:rsidRPr="00D809E5">
              <w:rPr>
                <w:rFonts w:ascii="Calibri" w:hAnsi="Calibri" w:cs="Calibri"/>
                <w:color w:val="000000"/>
                <w:kern w:val="0"/>
                <w:sz w:val="21"/>
                <w:szCs w:val="21"/>
                <w:lang w:val="en-GB"/>
              </w:rPr>
              <w:t>Further analyses showed that the near-zero averages conceal more-complex patterns. Greater income inequality was associated with lower well-being in high-inflation contexts and, surprisingly, higher well-being in low-inflation contexts. Greater inequality was also associated with poorer mental health in studies in which the average income was lower. The authors conclude that inequality is a catalyst that amplifies other determinants of well-being and mental health (such as inflation and poverty) but on its own is not a root cause of negative effects on well-being and mental health.</w:t>
            </w:r>
          </w:p>
          <w:p w14:paraId="74A82B5C" w14:textId="77777777" w:rsidR="005F3869" w:rsidRPr="00C3282A" w:rsidRDefault="005F3869" w:rsidP="00E90ADD">
            <w:pPr>
              <w:autoSpaceDE w:val="0"/>
              <w:autoSpaceDN w:val="0"/>
              <w:adjustRightInd w:val="0"/>
              <w:ind w:left="317" w:hanging="317"/>
              <w:rPr>
                <w:rFonts w:ascii="Calibri" w:hAnsi="Calibri" w:cs="Calibri"/>
                <w:color w:val="000000"/>
                <w:kern w:val="0"/>
                <w:sz w:val="21"/>
                <w:szCs w:val="21"/>
                <w:lang w:val="en-GB"/>
              </w:rPr>
            </w:pPr>
          </w:p>
        </w:tc>
        <w:tc>
          <w:tcPr>
            <w:tcW w:w="4252" w:type="dxa"/>
          </w:tcPr>
          <w:p w14:paraId="7294719D" w14:textId="77777777" w:rsidR="005F3869" w:rsidRPr="00C3282A" w:rsidRDefault="005F3869" w:rsidP="00E05DA1">
            <w:pPr>
              <w:autoSpaceDE w:val="0"/>
              <w:autoSpaceDN w:val="0"/>
              <w:adjustRightInd w:val="0"/>
              <w:rPr>
                <w:rFonts w:ascii="Calibri" w:hAnsi="Calibri" w:cs="Calibri"/>
                <w:color w:val="000000"/>
                <w:kern w:val="0"/>
                <w:sz w:val="21"/>
                <w:szCs w:val="21"/>
                <w:lang w:val="en-GB"/>
              </w:rPr>
            </w:pPr>
          </w:p>
        </w:tc>
      </w:tr>
      <w:tr w:rsidR="005F3869" w:rsidRPr="00C3282A" w14:paraId="528DC7B2" w14:textId="77777777" w:rsidTr="00E7744D">
        <w:tc>
          <w:tcPr>
            <w:tcW w:w="5671" w:type="dxa"/>
          </w:tcPr>
          <w:p w14:paraId="68643443" w14:textId="508E1875" w:rsidR="00AC0D6A" w:rsidRPr="00D809E5" w:rsidRDefault="00AC0D6A" w:rsidP="00E90ADD">
            <w:pPr>
              <w:pStyle w:val="ListParagraph"/>
              <w:numPr>
                <w:ilvl w:val="0"/>
                <w:numId w:val="3"/>
              </w:numPr>
              <w:autoSpaceDE w:val="0"/>
              <w:autoSpaceDN w:val="0"/>
              <w:adjustRightInd w:val="0"/>
              <w:ind w:left="317"/>
              <w:rPr>
                <w:rFonts w:ascii="Calibri" w:hAnsi="Calibri" w:cs="Calibri"/>
                <w:color w:val="000000"/>
                <w:kern w:val="0"/>
                <w:sz w:val="21"/>
                <w:szCs w:val="21"/>
                <w:lang w:val="en-GB"/>
              </w:rPr>
            </w:pPr>
            <w:r w:rsidRPr="00D809E5">
              <w:rPr>
                <w:rFonts w:ascii="Calibri" w:hAnsi="Calibri" w:cs="Calibri"/>
                <w:color w:val="000000"/>
                <w:kern w:val="0"/>
                <w:sz w:val="21"/>
                <w:szCs w:val="21"/>
                <w:lang w:val="en-GB"/>
              </w:rPr>
              <w:t xml:space="preserve">Of course, no single study or meta-study will offer a final consensus resolution to a big question like this one. Moreover, the statement that living in a society with greater income inequality does not make the poor worse off does not contradict the statement that being poor–regardless of the level of inequality in your society–can have negative effects on subjective well-being and on mental health. </w:t>
            </w:r>
          </w:p>
          <w:p w14:paraId="3DFD5553" w14:textId="77777777" w:rsidR="005F3869" w:rsidRPr="00C3282A" w:rsidRDefault="005F3869" w:rsidP="00E90ADD">
            <w:pPr>
              <w:autoSpaceDE w:val="0"/>
              <w:autoSpaceDN w:val="0"/>
              <w:adjustRightInd w:val="0"/>
              <w:ind w:left="317" w:hanging="317"/>
              <w:rPr>
                <w:rFonts w:ascii="Calibri" w:hAnsi="Calibri" w:cs="Calibri"/>
                <w:color w:val="000000"/>
                <w:kern w:val="0"/>
                <w:sz w:val="21"/>
                <w:szCs w:val="21"/>
                <w:lang w:val="en-GB"/>
              </w:rPr>
            </w:pPr>
          </w:p>
        </w:tc>
        <w:tc>
          <w:tcPr>
            <w:tcW w:w="4252" w:type="dxa"/>
          </w:tcPr>
          <w:p w14:paraId="3ABF28D2" w14:textId="77777777" w:rsidR="005F3869" w:rsidRPr="00C3282A" w:rsidRDefault="005F3869" w:rsidP="00E05DA1">
            <w:pPr>
              <w:autoSpaceDE w:val="0"/>
              <w:autoSpaceDN w:val="0"/>
              <w:adjustRightInd w:val="0"/>
              <w:rPr>
                <w:rFonts w:ascii="Calibri" w:hAnsi="Calibri" w:cs="Calibri"/>
                <w:color w:val="000000"/>
                <w:kern w:val="0"/>
                <w:sz w:val="21"/>
                <w:szCs w:val="21"/>
                <w:lang w:val="en-GB"/>
              </w:rPr>
            </w:pPr>
          </w:p>
        </w:tc>
      </w:tr>
    </w:tbl>
    <w:p w14:paraId="77619F01" w14:textId="77777777" w:rsidR="00E05DA1" w:rsidRPr="00C3282A" w:rsidRDefault="00E05DA1" w:rsidP="00C6291D">
      <w:pPr>
        <w:autoSpaceDE w:val="0"/>
        <w:autoSpaceDN w:val="0"/>
        <w:adjustRightInd w:val="0"/>
        <w:rPr>
          <w:rFonts w:ascii="Calibri" w:hAnsi="Calibri" w:cs="Calibri"/>
          <w:color w:val="000000"/>
          <w:kern w:val="0"/>
          <w:sz w:val="21"/>
          <w:szCs w:val="21"/>
          <w:lang w:val="en-GB"/>
        </w:rPr>
      </w:pPr>
    </w:p>
    <w:sectPr w:rsidR="00E05DA1" w:rsidRPr="00C3282A" w:rsidSect="00AC0D6A">
      <w:pgSz w:w="12240" w:h="15840"/>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A936DA"/>
    <w:multiLevelType w:val="hybridMultilevel"/>
    <w:tmpl w:val="B068202C"/>
    <w:lvl w:ilvl="0" w:tplc="BEFA11C2">
      <w:start w:val="1"/>
      <w:numFmt w:val="decimal"/>
      <w:lvlText w:val="%1."/>
      <w:lvlJc w:val="left"/>
      <w:pPr>
        <w:ind w:left="674" w:hanging="360"/>
      </w:pPr>
      <w:rPr>
        <w:rFonts w:hint="default"/>
      </w:rPr>
    </w:lvl>
    <w:lvl w:ilvl="1" w:tplc="08090019" w:tentative="1">
      <w:start w:val="1"/>
      <w:numFmt w:val="lowerLetter"/>
      <w:lvlText w:val="%2."/>
      <w:lvlJc w:val="left"/>
      <w:pPr>
        <w:ind w:left="1394" w:hanging="360"/>
      </w:pPr>
    </w:lvl>
    <w:lvl w:ilvl="2" w:tplc="0809001B" w:tentative="1">
      <w:start w:val="1"/>
      <w:numFmt w:val="lowerRoman"/>
      <w:lvlText w:val="%3."/>
      <w:lvlJc w:val="right"/>
      <w:pPr>
        <w:ind w:left="2114" w:hanging="180"/>
      </w:pPr>
    </w:lvl>
    <w:lvl w:ilvl="3" w:tplc="0809000F" w:tentative="1">
      <w:start w:val="1"/>
      <w:numFmt w:val="decimal"/>
      <w:lvlText w:val="%4."/>
      <w:lvlJc w:val="left"/>
      <w:pPr>
        <w:ind w:left="2834" w:hanging="360"/>
      </w:pPr>
    </w:lvl>
    <w:lvl w:ilvl="4" w:tplc="08090019" w:tentative="1">
      <w:start w:val="1"/>
      <w:numFmt w:val="lowerLetter"/>
      <w:lvlText w:val="%5."/>
      <w:lvlJc w:val="left"/>
      <w:pPr>
        <w:ind w:left="3554" w:hanging="360"/>
      </w:pPr>
    </w:lvl>
    <w:lvl w:ilvl="5" w:tplc="0809001B" w:tentative="1">
      <w:start w:val="1"/>
      <w:numFmt w:val="lowerRoman"/>
      <w:lvlText w:val="%6."/>
      <w:lvlJc w:val="right"/>
      <w:pPr>
        <w:ind w:left="4274" w:hanging="180"/>
      </w:pPr>
    </w:lvl>
    <w:lvl w:ilvl="6" w:tplc="0809000F" w:tentative="1">
      <w:start w:val="1"/>
      <w:numFmt w:val="decimal"/>
      <w:lvlText w:val="%7."/>
      <w:lvlJc w:val="left"/>
      <w:pPr>
        <w:ind w:left="4994" w:hanging="360"/>
      </w:pPr>
    </w:lvl>
    <w:lvl w:ilvl="7" w:tplc="08090019" w:tentative="1">
      <w:start w:val="1"/>
      <w:numFmt w:val="lowerLetter"/>
      <w:lvlText w:val="%8."/>
      <w:lvlJc w:val="left"/>
      <w:pPr>
        <w:ind w:left="5714" w:hanging="360"/>
      </w:pPr>
    </w:lvl>
    <w:lvl w:ilvl="8" w:tplc="0809001B" w:tentative="1">
      <w:start w:val="1"/>
      <w:numFmt w:val="lowerRoman"/>
      <w:lvlText w:val="%9."/>
      <w:lvlJc w:val="right"/>
      <w:pPr>
        <w:ind w:left="6434" w:hanging="180"/>
      </w:pPr>
    </w:lvl>
  </w:abstractNum>
  <w:abstractNum w:abstractNumId="1" w15:restartNumberingAfterBreak="0">
    <w:nsid w:val="10A6656E"/>
    <w:multiLevelType w:val="hybridMultilevel"/>
    <w:tmpl w:val="8A4024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BD37755"/>
    <w:multiLevelType w:val="hybridMultilevel"/>
    <w:tmpl w:val="8A4024A6"/>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941136769">
    <w:abstractNumId w:val="1"/>
  </w:num>
  <w:num w:numId="2" w16cid:durableId="1036659752">
    <w:abstractNumId w:val="2"/>
  </w:num>
  <w:num w:numId="3" w16cid:durableId="49010420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9"/>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5DA1"/>
    <w:rsid w:val="00025BF7"/>
    <w:rsid w:val="003D21C4"/>
    <w:rsid w:val="00424F50"/>
    <w:rsid w:val="00452141"/>
    <w:rsid w:val="00475B87"/>
    <w:rsid w:val="00595FBA"/>
    <w:rsid w:val="005C6B37"/>
    <w:rsid w:val="005F21A3"/>
    <w:rsid w:val="005F3869"/>
    <w:rsid w:val="00661279"/>
    <w:rsid w:val="00740DE2"/>
    <w:rsid w:val="007A5945"/>
    <w:rsid w:val="007B252A"/>
    <w:rsid w:val="008502E6"/>
    <w:rsid w:val="0088114F"/>
    <w:rsid w:val="0088582F"/>
    <w:rsid w:val="00886A55"/>
    <w:rsid w:val="009E7796"/>
    <w:rsid w:val="00A11EE2"/>
    <w:rsid w:val="00A17FCF"/>
    <w:rsid w:val="00A36560"/>
    <w:rsid w:val="00AC0D6A"/>
    <w:rsid w:val="00C3282A"/>
    <w:rsid w:val="00C6291D"/>
    <w:rsid w:val="00CC5F2A"/>
    <w:rsid w:val="00D736BB"/>
    <w:rsid w:val="00D809E5"/>
    <w:rsid w:val="00DA6EB0"/>
    <w:rsid w:val="00DF1E5E"/>
    <w:rsid w:val="00E05DA1"/>
    <w:rsid w:val="00E7744D"/>
    <w:rsid w:val="00E90ADD"/>
    <w:rsid w:val="00F6293A"/>
  </w:rsids>
  <m:mathPr>
    <m:mathFont m:val="Cambria Math"/>
    <m:brkBin m:val="before"/>
    <m:brkBinSub m:val="--"/>
    <m:smallFrac m:val="0"/>
    <m:dispDef/>
    <m:lMargin m:val="0"/>
    <m:rMargin m:val="0"/>
    <m:defJc m:val="centerGroup"/>
    <m:wrapIndent m:val="1440"/>
    <m:intLim m:val="subSup"/>
    <m:naryLim m:val="undOvr"/>
  </m:mathPr>
  <w:themeFontLang w:val="en-NL"/>
  <w:clrSchemeMapping w:bg1="light1" w:t1="dark1" w:bg2="light2" w:t2="dark2" w:accent1="accent1" w:accent2="accent2" w:accent3="accent3" w:accent4="accent4" w:accent5="accent5" w:accent6="accent6" w:hyperlink="hyperlink" w:followedHyperlink="followedHyperlink"/>
  <w:decimalSymbol w:val=","/>
  <w:listSeparator w:val=","/>
  <w14:docId w14:val="2E7EE2BB"/>
  <w15:chartTrackingRefBased/>
  <w15:docId w15:val="{16035DE8-20A0-484C-B428-005473801D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5DA1"/>
    <w:rPr>
      <w:lang w:val="en-US"/>
    </w:rPr>
  </w:style>
  <w:style w:type="paragraph" w:styleId="Heading1">
    <w:name w:val="heading 1"/>
    <w:basedOn w:val="Normal"/>
    <w:next w:val="Normal"/>
    <w:link w:val="Heading1Char"/>
    <w:uiPriority w:val="9"/>
    <w:qFormat/>
    <w:rsid w:val="00E05DA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05DA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05DA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05DA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05DA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05DA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05DA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05DA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05DA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05DA1"/>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E05DA1"/>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E05DA1"/>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E05DA1"/>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E05DA1"/>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E05DA1"/>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E05DA1"/>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E05DA1"/>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E05DA1"/>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E05DA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05DA1"/>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E05DA1"/>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05DA1"/>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E05DA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E05DA1"/>
    <w:rPr>
      <w:i/>
      <w:iCs/>
      <w:color w:val="404040" w:themeColor="text1" w:themeTint="BF"/>
      <w:lang w:val="en-US"/>
    </w:rPr>
  </w:style>
  <w:style w:type="paragraph" w:styleId="ListParagraph">
    <w:name w:val="List Paragraph"/>
    <w:basedOn w:val="Normal"/>
    <w:uiPriority w:val="34"/>
    <w:qFormat/>
    <w:rsid w:val="00E05DA1"/>
    <w:pPr>
      <w:ind w:left="720"/>
      <w:contextualSpacing/>
    </w:pPr>
  </w:style>
  <w:style w:type="character" w:styleId="IntenseEmphasis">
    <w:name w:val="Intense Emphasis"/>
    <w:basedOn w:val="DefaultParagraphFont"/>
    <w:uiPriority w:val="21"/>
    <w:qFormat/>
    <w:rsid w:val="00E05DA1"/>
    <w:rPr>
      <w:i/>
      <w:iCs/>
      <w:color w:val="0F4761" w:themeColor="accent1" w:themeShade="BF"/>
    </w:rPr>
  </w:style>
  <w:style w:type="paragraph" w:styleId="IntenseQuote">
    <w:name w:val="Intense Quote"/>
    <w:basedOn w:val="Normal"/>
    <w:next w:val="Normal"/>
    <w:link w:val="IntenseQuoteChar"/>
    <w:uiPriority w:val="30"/>
    <w:qFormat/>
    <w:rsid w:val="00E05DA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05DA1"/>
    <w:rPr>
      <w:i/>
      <w:iCs/>
      <w:color w:val="0F4761" w:themeColor="accent1" w:themeShade="BF"/>
      <w:lang w:val="en-US"/>
    </w:rPr>
  </w:style>
  <w:style w:type="character" w:styleId="IntenseReference">
    <w:name w:val="Intense Reference"/>
    <w:basedOn w:val="DefaultParagraphFont"/>
    <w:uiPriority w:val="32"/>
    <w:qFormat/>
    <w:rsid w:val="00E05DA1"/>
    <w:rPr>
      <w:b/>
      <w:bCs/>
      <w:smallCaps/>
      <w:color w:val="0F4761" w:themeColor="accent1" w:themeShade="BF"/>
      <w:spacing w:val="5"/>
    </w:rPr>
  </w:style>
  <w:style w:type="table" w:styleId="TableGrid">
    <w:name w:val="Table Grid"/>
    <w:basedOn w:val="TableNormal"/>
    <w:uiPriority w:val="39"/>
    <w:rsid w:val="005F386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886A55"/>
    <w:pPr>
      <w:spacing w:before="100" w:beforeAutospacing="1" w:after="100" w:afterAutospacing="1"/>
    </w:pPr>
    <w:rPr>
      <w:rFonts w:ascii="Times New Roman" w:eastAsia="Times New Roman" w:hAnsi="Times New Roman" w:cs="Times New Roman"/>
      <w:kern w:val="0"/>
      <w:lang w:val="en-NL" w:eastAsia="en-GB"/>
      <w14:ligatures w14:val="none"/>
    </w:rPr>
  </w:style>
  <w:style w:type="character" w:styleId="Strong">
    <w:name w:val="Strong"/>
    <w:basedOn w:val="DefaultParagraphFont"/>
    <w:uiPriority w:val="22"/>
    <w:qFormat/>
    <w:rsid w:val="00886A55"/>
    <w:rPr>
      <w:b/>
      <w:bCs/>
    </w:rPr>
  </w:style>
  <w:style w:type="character" w:styleId="Emphasis">
    <w:name w:val="Emphasis"/>
    <w:basedOn w:val="DefaultParagraphFont"/>
    <w:uiPriority w:val="20"/>
    <w:qFormat/>
    <w:rsid w:val="00886A55"/>
    <w:rPr>
      <w:i/>
      <w:iCs/>
    </w:rPr>
  </w:style>
  <w:style w:type="character" w:styleId="Hyperlink">
    <w:name w:val="Hyperlink"/>
    <w:basedOn w:val="DefaultParagraphFont"/>
    <w:uiPriority w:val="99"/>
    <w:unhideWhenUsed/>
    <w:rsid w:val="00025BF7"/>
    <w:rPr>
      <w:color w:val="467886" w:themeColor="hyperlink"/>
      <w:u w:val="single"/>
    </w:rPr>
  </w:style>
  <w:style w:type="character" w:styleId="FollowedHyperlink">
    <w:name w:val="FollowedHyperlink"/>
    <w:basedOn w:val="DefaultParagraphFont"/>
    <w:uiPriority w:val="99"/>
    <w:semiHidden/>
    <w:unhideWhenUsed/>
    <w:rsid w:val="005F21A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30</TotalTime>
  <Pages>2</Pages>
  <Words>672</Words>
  <Characters>3789</Characters>
  <Application>Microsoft Office Word</Application>
  <DocSecurity>0</DocSecurity>
  <Lines>108</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dc:creator>
  <cp:keywords/>
  <dc:description/>
  <cp:lastModifiedBy>AZ</cp:lastModifiedBy>
  <cp:revision>7</cp:revision>
  <cp:lastPrinted>2026-01-30T14:02:00Z</cp:lastPrinted>
  <dcterms:created xsi:type="dcterms:W3CDTF">2026-01-30T11:00:00Z</dcterms:created>
  <dcterms:modified xsi:type="dcterms:W3CDTF">2026-01-30T14:03:00Z</dcterms:modified>
</cp:coreProperties>
</file>